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90E0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MFS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66061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90E0E">
        <w:rPr>
          <w:rFonts w:ascii="Arial" w:hAnsi="Arial" w:cs="Arial"/>
          <w:sz w:val="20"/>
          <w:szCs w:val="20"/>
        </w:rPr>
        <w:t>15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290E0E" w:rsidRPr="00290E0E">
        <w:rPr>
          <w:rFonts w:ascii="Arial" w:hAnsi="Arial" w:cs="Arial"/>
          <w:sz w:val="20"/>
          <w:szCs w:val="20"/>
        </w:rPr>
        <w:t>MobiFone</w:t>
      </w:r>
      <w:proofErr w:type="spellEnd"/>
      <w:r w:rsidR="00290E0E" w:rsidRPr="00290E0E">
        <w:rPr>
          <w:rFonts w:ascii="Arial" w:hAnsi="Arial" w:cs="Arial"/>
          <w:sz w:val="20"/>
          <w:szCs w:val="20"/>
        </w:rPr>
        <w:t xml:space="preserve"> Service JSC</w:t>
      </w:r>
      <w:r w:rsidR="00290E0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66061">
        <w:rPr>
          <w:rFonts w:ascii="Arial" w:hAnsi="Arial" w:cs="Arial"/>
          <w:sz w:val="20"/>
          <w:szCs w:val="20"/>
        </w:rPr>
        <w:t>Board resolution</w:t>
      </w:r>
      <w:r w:rsidR="008F646E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52A11" w:rsidRDefault="00B52A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submitting the</w:t>
      </w:r>
      <w:r w:rsidR="00290E0E" w:rsidRPr="00290E0E">
        <w:rPr>
          <w:rFonts w:ascii="Arial" w:hAnsi="Arial" w:cs="Arial"/>
          <w:sz w:val="20"/>
          <w:szCs w:val="20"/>
        </w:rPr>
        <w:t xml:space="preserve">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="00290E0E" w:rsidRPr="00290E0E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>to approve</w:t>
      </w:r>
      <w:r w:rsidR="00290E0E" w:rsidRPr="00290E0E">
        <w:rPr>
          <w:rFonts w:ascii="Arial" w:hAnsi="Arial" w:cs="Arial"/>
          <w:sz w:val="20"/>
          <w:szCs w:val="20"/>
        </w:rPr>
        <w:t xml:space="preserve"> the results of production and business activities in 2019: </w:t>
      </w:r>
    </w:p>
    <w:p w:rsidR="00F62439" w:rsidRDefault="00F6243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3359"/>
        <w:gridCol w:w="1915"/>
        <w:gridCol w:w="1915"/>
        <w:gridCol w:w="1915"/>
      </w:tblGrid>
      <w:tr w:rsidR="00F62439" w:rsidTr="00F62439">
        <w:tc>
          <w:tcPr>
            <w:tcW w:w="468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62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1915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1915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916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Realization/ plan</w:t>
            </w:r>
          </w:p>
        </w:tc>
      </w:tr>
      <w:tr w:rsidR="00F62439" w:rsidTr="00F62439">
        <w:tc>
          <w:tcPr>
            <w:tcW w:w="468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2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915" w:type="dxa"/>
          </w:tcPr>
          <w:p w:rsidR="00F62439" w:rsidRDefault="00FE216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0E">
              <w:rPr>
                <w:rFonts w:ascii="Arial" w:hAnsi="Arial" w:cs="Arial"/>
                <w:sz w:val="20"/>
                <w:szCs w:val="20"/>
              </w:rPr>
              <w:t>684,000,000,000</w:t>
            </w:r>
          </w:p>
        </w:tc>
        <w:tc>
          <w:tcPr>
            <w:tcW w:w="1915" w:type="dxa"/>
          </w:tcPr>
          <w:p w:rsidR="00F62439" w:rsidRDefault="00FE216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0E">
              <w:rPr>
                <w:rFonts w:ascii="Arial" w:hAnsi="Arial" w:cs="Arial"/>
                <w:sz w:val="20"/>
                <w:szCs w:val="20"/>
              </w:rPr>
              <w:t>656,424,029,837</w:t>
            </w:r>
          </w:p>
        </w:tc>
        <w:tc>
          <w:tcPr>
            <w:tcW w:w="1916" w:type="dxa"/>
          </w:tcPr>
          <w:p w:rsidR="00F62439" w:rsidRDefault="00FE216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0E">
              <w:rPr>
                <w:rFonts w:ascii="Arial" w:hAnsi="Arial" w:cs="Arial"/>
                <w:sz w:val="20"/>
                <w:szCs w:val="20"/>
              </w:rPr>
              <w:t>96.0%</w:t>
            </w:r>
          </w:p>
        </w:tc>
      </w:tr>
      <w:tr w:rsidR="00F62439" w:rsidTr="00F62439">
        <w:tc>
          <w:tcPr>
            <w:tcW w:w="468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</w:t>
            </w:r>
          </w:p>
        </w:tc>
        <w:tc>
          <w:tcPr>
            <w:tcW w:w="1915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439" w:rsidTr="00F62439">
        <w:tc>
          <w:tcPr>
            <w:tcW w:w="468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62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 from selling goods and services</w:t>
            </w:r>
          </w:p>
        </w:tc>
        <w:tc>
          <w:tcPr>
            <w:tcW w:w="1915" w:type="dxa"/>
          </w:tcPr>
          <w:p w:rsidR="00F62439" w:rsidRDefault="0047527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0E">
              <w:rPr>
                <w:rFonts w:ascii="Arial" w:hAnsi="Arial" w:cs="Arial"/>
                <w:sz w:val="20"/>
                <w:szCs w:val="20"/>
              </w:rPr>
              <w:t>684,000,000,000</w:t>
            </w:r>
          </w:p>
        </w:tc>
        <w:tc>
          <w:tcPr>
            <w:tcW w:w="1915" w:type="dxa"/>
          </w:tcPr>
          <w:p w:rsidR="00F62439" w:rsidRDefault="0094370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651,211.1</w:t>
            </w:r>
            <w:r w:rsidR="00475279" w:rsidRPr="00290E0E">
              <w:rPr>
                <w:rFonts w:ascii="Arial" w:hAnsi="Arial" w:cs="Arial"/>
                <w:sz w:val="20"/>
                <w:szCs w:val="20"/>
              </w:rPr>
              <w:t>26,979</w:t>
            </w:r>
          </w:p>
        </w:tc>
        <w:tc>
          <w:tcPr>
            <w:tcW w:w="1916" w:type="dxa"/>
          </w:tcPr>
          <w:p w:rsidR="00F62439" w:rsidRDefault="0047527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0E">
              <w:rPr>
                <w:rFonts w:ascii="Arial" w:hAnsi="Arial" w:cs="Arial"/>
                <w:sz w:val="20"/>
                <w:szCs w:val="20"/>
              </w:rPr>
              <w:t>95.2%</w:t>
            </w:r>
          </w:p>
        </w:tc>
      </w:tr>
      <w:tr w:rsidR="00F62439" w:rsidTr="00F62439">
        <w:tc>
          <w:tcPr>
            <w:tcW w:w="468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62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income </w:t>
            </w:r>
          </w:p>
        </w:tc>
        <w:tc>
          <w:tcPr>
            <w:tcW w:w="1915" w:type="dxa"/>
          </w:tcPr>
          <w:p w:rsidR="00F62439" w:rsidRDefault="0047527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F62439" w:rsidRDefault="0047527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0E">
              <w:rPr>
                <w:rFonts w:ascii="Arial" w:hAnsi="Arial" w:cs="Arial"/>
                <w:sz w:val="20"/>
                <w:szCs w:val="20"/>
              </w:rPr>
              <w:t>4,947,417,927</w:t>
            </w:r>
          </w:p>
        </w:tc>
        <w:tc>
          <w:tcPr>
            <w:tcW w:w="1916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439" w:rsidTr="00F62439">
        <w:tc>
          <w:tcPr>
            <w:tcW w:w="468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362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revenue</w:t>
            </w:r>
          </w:p>
        </w:tc>
        <w:tc>
          <w:tcPr>
            <w:tcW w:w="1915" w:type="dxa"/>
          </w:tcPr>
          <w:p w:rsidR="00F62439" w:rsidRDefault="0047527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F62439" w:rsidRDefault="005A008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265,484,931</w:t>
            </w:r>
          </w:p>
        </w:tc>
        <w:tc>
          <w:tcPr>
            <w:tcW w:w="1916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439" w:rsidTr="00F62439">
        <w:tc>
          <w:tcPr>
            <w:tcW w:w="468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2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Consolidated revenue</w:t>
            </w:r>
          </w:p>
        </w:tc>
        <w:tc>
          <w:tcPr>
            <w:tcW w:w="1915" w:type="dxa"/>
          </w:tcPr>
          <w:p w:rsidR="00F62439" w:rsidRDefault="0047527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0E">
              <w:rPr>
                <w:rFonts w:ascii="Arial" w:hAnsi="Arial" w:cs="Arial"/>
                <w:sz w:val="20"/>
                <w:szCs w:val="20"/>
              </w:rPr>
              <w:t>309,000,000,000</w:t>
            </w:r>
          </w:p>
        </w:tc>
        <w:tc>
          <w:tcPr>
            <w:tcW w:w="1915" w:type="dxa"/>
          </w:tcPr>
          <w:p w:rsidR="00F62439" w:rsidRDefault="0047527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0E">
              <w:rPr>
                <w:rFonts w:ascii="Arial" w:hAnsi="Arial" w:cs="Arial"/>
                <w:sz w:val="20"/>
                <w:szCs w:val="20"/>
              </w:rPr>
              <w:t>316,571,215,276</w:t>
            </w:r>
          </w:p>
        </w:tc>
        <w:tc>
          <w:tcPr>
            <w:tcW w:w="1916" w:type="dxa"/>
          </w:tcPr>
          <w:p w:rsidR="00F62439" w:rsidRDefault="0047527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0E">
              <w:rPr>
                <w:rFonts w:ascii="Arial" w:hAnsi="Arial" w:cs="Arial"/>
                <w:sz w:val="20"/>
                <w:szCs w:val="20"/>
              </w:rPr>
              <w:t>102.5%</w:t>
            </w:r>
          </w:p>
        </w:tc>
      </w:tr>
      <w:tr w:rsidR="00F62439" w:rsidTr="00F62439">
        <w:tc>
          <w:tcPr>
            <w:tcW w:w="468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2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915" w:type="dxa"/>
          </w:tcPr>
          <w:p w:rsidR="00F62439" w:rsidRDefault="0047527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0E">
              <w:rPr>
                <w:rFonts w:ascii="Arial" w:hAnsi="Arial" w:cs="Arial"/>
                <w:sz w:val="20"/>
                <w:szCs w:val="20"/>
              </w:rPr>
              <w:t>29,824,000,000</w:t>
            </w:r>
          </w:p>
        </w:tc>
        <w:tc>
          <w:tcPr>
            <w:tcW w:w="1915" w:type="dxa"/>
          </w:tcPr>
          <w:p w:rsidR="00F62439" w:rsidRDefault="0047527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0E">
              <w:rPr>
                <w:rFonts w:ascii="Arial" w:hAnsi="Arial" w:cs="Arial"/>
                <w:sz w:val="20"/>
                <w:szCs w:val="20"/>
              </w:rPr>
              <w:t>30,654,877,866</w:t>
            </w:r>
          </w:p>
        </w:tc>
        <w:tc>
          <w:tcPr>
            <w:tcW w:w="1916" w:type="dxa"/>
          </w:tcPr>
          <w:p w:rsidR="00F62439" w:rsidRDefault="0047527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0E">
              <w:rPr>
                <w:rFonts w:ascii="Arial" w:hAnsi="Arial" w:cs="Arial"/>
                <w:sz w:val="20"/>
                <w:szCs w:val="20"/>
              </w:rPr>
              <w:t>102.8%</w:t>
            </w:r>
          </w:p>
        </w:tc>
      </w:tr>
      <w:tr w:rsidR="00F62439" w:rsidTr="00F62439">
        <w:tc>
          <w:tcPr>
            <w:tcW w:w="468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2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tax/ owner's equity </w:t>
            </w:r>
          </w:p>
        </w:tc>
        <w:tc>
          <w:tcPr>
            <w:tcW w:w="1915" w:type="dxa"/>
          </w:tcPr>
          <w:p w:rsidR="00F62439" w:rsidRDefault="006034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0E">
              <w:rPr>
                <w:rFonts w:ascii="Arial" w:hAnsi="Arial" w:cs="Arial"/>
                <w:sz w:val="20"/>
                <w:szCs w:val="20"/>
              </w:rPr>
              <w:t>18.3%</w:t>
            </w:r>
          </w:p>
        </w:tc>
        <w:tc>
          <w:tcPr>
            <w:tcW w:w="1915" w:type="dxa"/>
          </w:tcPr>
          <w:p w:rsidR="00F62439" w:rsidRDefault="006034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0E">
              <w:rPr>
                <w:rFonts w:ascii="Arial" w:hAnsi="Arial" w:cs="Arial"/>
                <w:sz w:val="20"/>
                <w:szCs w:val="20"/>
              </w:rPr>
              <w:t>18.3%</w:t>
            </w:r>
          </w:p>
        </w:tc>
        <w:tc>
          <w:tcPr>
            <w:tcW w:w="1916" w:type="dxa"/>
          </w:tcPr>
          <w:p w:rsidR="00F62439" w:rsidRDefault="006034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0E">
              <w:rPr>
                <w:rFonts w:ascii="Arial" w:hAnsi="Arial" w:cs="Arial"/>
                <w:sz w:val="20"/>
                <w:szCs w:val="20"/>
              </w:rPr>
              <w:t>100.0%</w:t>
            </w:r>
          </w:p>
        </w:tc>
      </w:tr>
      <w:tr w:rsidR="00F62439" w:rsidTr="00F62439">
        <w:tc>
          <w:tcPr>
            <w:tcW w:w="468" w:type="dxa"/>
          </w:tcPr>
          <w:p w:rsidR="00F62439" w:rsidRDefault="00F62439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2" w:type="dxa"/>
          </w:tcPr>
          <w:p w:rsidR="00F62439" w:rsidRDefault="00FE2163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Solvency </w:t>
            </w:r>
          </w:p>
        </w:tc>
        <w:tc>
          <w:tcPr>
            <w:tcW w:w="1915" w:type="dxa"/>
          </w:tcPr>
          <w:p w:rsidR="00F62439" w:rsidRDefault="006034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0E">
              <w:rPr>
                <w:rFonts w:ascii="Arial" w:hAnsi="Arial" w:cs="Arial"/>
                <w:sz w:val="20"/>
                <w:szCs w:val="20"/>
              </w:rPr>
              <w:t>&gt; 1</w:t>
            </w:r>
          </w:p>
        </w:tc>
        <w:tc>
          <w:tcPr>
            <w:tcW w:w="1915" w:type="dxa"/>
          </w:tcPr>
          <w:p w:rsidR="00F62439" w:rsidRDefault="006034F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E0E">
              <w:rPr>
                <w:rFonts w:ascii="Arial" w:hAnsi="Arial" w:cs="Arial"/>
                <w:sz w:val="20"/>
                <w:szCs w:val="20"/>
              </w:rPr>
              <w:t>2.58</w:t>
            </w:r>
          </w:p>
        </w:tc>
        <w:tc>
          <w:tcPr>
            <w:tcW w:w="1916" w:type="dxa"/>
          </w:tcPr>
          <w:p w:rsidR="00F62439" w:rsidRDefault="0094370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Achieved</w:t>
            </w:r>
          </w:p>
        </w:tc>
      </w:tr>
    </w:tbl>
    <w:p w:rsidR="00F62439" w:rsidRDefault="005A00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(Figures taken from the audited financial statement of 2019)</w:t>
      </w:r>
    </w:p>
    <w:p w:rsidR="003C5A29" w:rsidRDefault="005A00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0083">
        <w:rPr>
          <w:rFonts w:ascii="Arial" w:hAnsi="Arial" w:cs="Arial"/>
          <w:sz w:val="20"/>
          <w:szCs w:val="20"/>
        </w:rPr>
        <w:t>Article 2</w:t>
      </w:r>
      <w:r>
        <w:rPr>
          <w:rFonts w:ascii="Arial" w:hAnsi="Arial" w:cs="Arial"/>
          <w:sz w:val="20"/>
          <w:szCs w:val="20"/>
        </w:rPr>
        <w:t>: Agree to submit</w:t>
      </w:r>
      <w:r w:rsidRPr="005A0083">
        <w:rPr>
          <w:rFonts w:ascii="Arial" w:hAnsi="Arial" w:cs="Arial"/>
          <w:sz w:val="20"/>
          <w:szCs w:val="20"/>
        </w:rPr>
        <w:t xml:space="preserve"> the Annual General Meeting of Shareholders for approval of the distribution of profit a</w:t>
      </w:r>
      <w:r w:rsidR="003C5A29">
        <w:rPr>
          <w:rFonts w:ascii="Arial" w:hAnsi="Arial" w:cs="Arial"/>
          <w:sz w:val="20"/>
          <w:szCs w:val="20"/>
        </w:rPr>
        <w:t>fter tax and dividend payment for</w:t>
      </w:r>
      <w:r w:rsidRPr="005A0083">
        <w:rPr>
          <w:rFonts w:ascii="Arial" w:hAnsi="Arial" w:cs="Arial"/>
          <w:sz w:val="20"/>
          <w:szCs w:val="20"/>
        </w:rPr>
        <w:t xml:space="preserve"> 2019: </w:t>
      </w:r>
    </w:p>
    <w:p w:rsidR="003C5A29" w:rsidRDefault="003C5A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="005A0083" w:rsidRPr="005A0083">
        <w:rPr>
          <w:rFonts w:ascii="Arial" w:hAnsi="Arial" w:cs="Arial"/>
          <w:sz w:val="20"/>
          <w:szCs w:val="20"/>
        </w:rPr>
        <w:t xml:space="preserve">Profit after tax distribution: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826"/>
        <w:gridCol w:w="3192"/>
      </w:tblGrid>
      <w:tr w:rsidR="001D6FC1" w:rsidTr="001D6FC1">
        <w:tc>
          <w:tcPr>
            <w:tcW w:w="558" w:type="dxa"/>
          </w:tcPr>
          <w:p w:rsidR="001D6FC1" w:rsidRDefault="001D6F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26" w:type="dxa"/>
          </w:tcPr>
          <w:p w:rsidR="001D6FC1" w:rsidRDefault="001D6F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3192" w:type="dxa"/>
          </w:tcPr>
          <w:p w:rsidR="001D6FC1" w:rsidRDefault="001D6F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1D6FC1" w:rsidTr="001D6FC1">
        <w:tc>
          <w:tcPr>
            <w:tcW w:w="558" w:type="dxa"/>
          </w:tcPr>
          <w:p w:rsidR="001D6FC1" w:rsidRDefault="001D6F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26" w:type="dxa"/>
          </w:tcPr>
          <w:p w:rsidR="001D6FC1" w:rsidRDefault="001D6F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Extraction to remuneration to the Board of Directors and Supervisory Board </w:t>
            </w:r>
          </w:p>
        </w:tc>
        <w:tc>
          <w:tcPr>
            <w:tcW w:w="3192" w:type="dxa"/>
          </w:tcPr>
          <w:p w:rsidR="001D6FC1" w:rsidRDefault="001D6F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432,000,000</w:t>
            </w:r>
          </w:p>
        </w:tc>
      </w:tr>
      <w:tr w:rsidR="001D6FC1" w:rsidTr="001D6FC1">
        <w:tc>
          <w:tcPr>
            <w:tcW w:w="558" w:type="dxa"/>
          </w:tcPr>
          <w:p w:rsidR="001D6FC1" w:rsidRDefault="001D6F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26" w:type="dxa"/>
          </w:tcPr>
          <w:p w:rsidR="001D6FC1" w:rsidRDefault="001D6F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the Welfare Reward Fund (25%)</w:t>
            </w:r>
          </w:p>
        </w:tc>
        <w:tc>
          <w:tcPr>
            <w:tcW w:w="3192" w:type="dxa"/>
          </w:tcPr>
          <w:p w:rsidR="001D6FC1" w:rsidRDefault="001D6F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7,663,719,</w:t>
            </w:r>
            <w:r w:rsidR="00404C8D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</w:tr>
      <w:tr w:rsidR="001D6FC1" w:rsidTr="001D6FC1">
        <w:tc>
          <w:tcPr>
            <w:tcW w:w="558" w:type="dxa"/>
          </w:tcPr>
          <w:p w:rsidR="001D6FC1" w:rsidRDefault="001D6FC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26" w:type="dxa"/>
          </w:tcPr>
          <w:p w:rsidR="001D6FC1" w:rsidRDefault="00404C8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 the Investment Development Fund (20%</w:t>
            </w:r>
            <w:r w:rsidR="00943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1D6FC1" w:rsidRDefault="00404C8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6,130,975,573</w:t>
            </w:r>
          </w:p>
        </w:tc>
      </w:tr>
    </w:tbl>
    <w:p w:rsidR="003C5A29" w:rsidRDefault="003C5A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103D" w:rsidRDefault="00404C8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5A0083" w:rsidRPr="005A0083">
        <w:rPr>
          <w:rFonts w:ascii="Arial" w:hAnsi="Arial" w:cs="Arial"/>
          <w:sz w:val="20"/>
          <w:szCs w:val="20"/>
        </w:rPr>
        <w:t xml:space="preserve">Plan for remuneration </w:t>
      </w:r>
      <w:r>
        <w:rPr>
          <w:rFonts w:ascii="Arial" w:hAnsi="Arial" w:cs="Arial"/>
          <w:sz w:val="20"/>
          <w:szCs w:val="20"/>
        </w:rPr>
        <w:t xml:space="preserve">payment to </w:t>
      </w:r>
      <w:r w:rsidR="005A0083" w:rsidRPr="005A0083">
        <w:rPr>
          <w:rFonts w:ascii="Arial" w:hAnsi="Arial" w:cs="Arial"/>
          <w:sz w:val="20"/>
          <w:szCs w:val="20"/>
        </w:rPr>
        <w:t xml:space="preserve">the Board of Directors and the Supervisory Board in 2019: </w:t>
      </w:r>
    </w:p>
    <w:p w:rsidR="00E1103D" w:rsidRDefault="005A00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0083">
        <w:rPr>
          <w:rFonts w:ascii="Arial" w:hAnsi="Arial" w:cs="Arial"/>
          <w:sz w:val="20"/>
          <w:szCs w:val="20"/>
        </w:rPr>
        <w:t xml:space="preserve">Based on the results of production and business activities in 2019, propose to the </w:t>
      </w:r>
      <w:r w:rsidR="00E1103D">
        <w:rPr>
          <w:rFonts w:ascii="Arial" w:hAnsi="Arial" w:cs="Arial"/>
          <w:sz w:val="20"/>
          <w:szCs w:val="20"/>
        </w:rPr>
        <w:t>annual General Meeting of Shareholders to approve</w:t>
      </w:r>
      <w:r w:rsidRPr="005A0083">
        <w:rPr>
          <w:rFonts w:ascii="Arial" w:hAnsi="Arial" w:cs="Arial"/>
          <w:sz w:val="20"/>
          <w:szCs w:val="20"/>
        </w:rPr>
        <w:t xml:space="preserve"> the remuneration level for members </w:t>
      </w:r>
      <w:r w:rsidR="00E1103D">
        <w:rPr>
          <w:rFonts w:ascii="Arial" w:hAnsi="Arial" w:cs="Arial"/>
          <w:sz w:val="20"/>
          <w:szCs w:val="20"/>
        </w:rPr>
        <w:t xml:space="preserve">of the Board of Directors and the Supervisory Board in 2019 </w:t>
      </w:r>
      <w:r w:rsidRPr="005A0083">
        <w:rPr>
          <w:rFonts w:ascii="Arial" w:hAnsi="Arial" w:cs="Arial"/>
          <w:sz w:val="20"/>
          <w:szCs w:val="20"/>
        </w:rPr>
        <w:t xml:space="preserve">as follows: </w:t>
      </w:r>
    </w:p>
    <w:p w:rsidR="00055017" w:rsidRDefault="00E1103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A0083" w:rsidRPr="005A0083">
        <w:rPr>
          <w:rFonts w:ascii="Arial" w:hAnsi="Arial" w:cs="Arial"/>
          <w:sz w:val="20"/>
          <w:szCs w:val="20"/>
        </w:rPr>
        <w:t xml:space="preserve">The Chairman of the Board of Directors receives </w:t>
      </w:r>
      <w:r w:rsidR="00055017">
        <w:rPr>
          <w:rFonts w:ascii="Arial" w:hAnsi="Arial" w:cs="Arial"/>
          <w:sz w:val="20"/>
          <w:szCs w:val="20"/>
        </w:rPr>
        <w:t>the remuneration of VND 7,000,000/ month</w:t>
      </w:r>
    </w:p>
    <w:p w:rsidR="00055017" w:rsidRDefault="000550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A0083" w:rsidRPr="005A0083">
        <w:rPr>
          <w:rFonts w:ascii="Arial" w:hAnsi="Arial" w:cs="Arial"/>
          <w:sz w:val="20"/>
          <w:szCs w:val="20"/>
        </w:rPr>
        <w:t>Members o</w:t>
      </w:r>
      <w:r>
        <w:rPr>
          <w:rFonts w:ascii="Arial" w:hAnsi="Arial" w:cs="Arial"/>
          <w:sz w:val="20"/>
          <w:szCs w:val="20"/>
        </w:rPr>
        <w:t>f the Board of Directors enjoy the</w:t>
      </w:r>
      <w:r w:rsidR="005A0083" w:rsidRPr="005A0083">
        <w:rPr>
          <w:rFonts w:ascii="Arial" w:hAnsi="Arial" w:cs="Arial"/>
          <w:sz w:val="20"/>
          <w:szCs w:val="20"/>
        </w:rPr>
        <w:t xml:space="preserve"> remuneration of VND 5,000,000</w:t>
      </w:r>
      <w:r>
        <w:rPr>
          <w:rFonts w:ascii="Arial" w:hAnsi="Arial" w:cs="Arial"/>
          <w:sz w:val="20"/>
          <w:szCs w:val="20"/>
        </w:rPr>
        <w:t>/ month</w:t>
      </w:r>
    </w:p>
    <w:p w:rsidR="00055017" w:rsidRDefault="000550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5A0083" w:rsidRPr="005A0083">
        <w:rPr>
          <w:rFonts w:ascii="Arial" w:hAnsi="Arial" w:cs="Arial"/>
          <w:sz w:val="20"/>
          <w:szCs w:val="20"/>
        </w:rPr>
        <w:t xml:space="preserve"> Members of the Sup</w:t>
      </w:r>
      <w:r>
        <w:rPr>
          <w:rFonts w:ascii="Arial" w:hAnsi="Arial" w:cs="Arial"/>
          <w:sz w:val="20"/>
          <w:szCs w:val="20"/>
        </w:rPr>
        <w:t>ervisory Board are entitled to the remuneration of VND 3,000,000/ month</w:t>
      </w:r>
    </w:p>
    <w:p w:rsidR="00DD1D0B" w:rsidRDefault="005A008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0083">
        <w:rPr>
          <w:rFonts w:ascii="Arial" w:hAnsi="Arial" w:cs="Arial"/>
          <w:sz w:val="20"/>
          <w:szCs w:val="20"/>
        </w:rPr>
        <w:t xml:space="preserve">The total proposed remuneration for members of the Board of Directors and </w:t>
      </w:r>
      <w:r w:rsidR="00055017">
        <w:rPr>
          <w:rFonts w:ascii="Arial" w:hAnsi="Arial" w:cs="Arial"/>
          <w:sz w:val="20"/>
          <w:szCs w:val="20"/>
        </w:rPr>
        <w:t>the Supervisory Board in 2019</w:t>
      </w:r>
      <w:r w:rsidR="00DD1D0B">
        <w:rPr>
          <w:rFonts w:ascii="Arial" w:hAnsi="Arial" w:cs="Arial"/>
          <w:sz w:val="20"/>
          <w:szCs w:val="20"/>
        </w:rPr>
        <w:t>: VND 432,000,000</w:t>
      </w:r>
    </w:p>
    <w:p w:rsidR="00E807EC" w:rsidRDefault="00DD1D0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="005A0083" w:rsidRPr="005A0083">
        <w:rPr>
          <w:rFonts w:ascii="Arial" w:hAnsi="Arial" w:cs="Arial"/>
          <w:sz w:val="20"/>
          <w:szCs w:val="20"/>
        </w:rPr>
        <w:t xml:space="preserve"> Plan for dividend payment in 2019:</w:t>
      </w:r>
      <w:r w:rsidR="00E807EC">
        <w:rPr>
          <w:rFonts w:ascii="Arial" w:hAnsi="Arial" w:cs="Arial"/>
          <w:sz w:val="20"/>
          <w:szCs w:val="20"/>
        </w:rPr>
        <w:t xml:space="preserve"> </w:t>
      </w:r>
    </w:p>
    <w:p w:rsidR="002077F5" w:rsidRDefault="00E807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Paying dividend of</w:t>
      </w:r>
      <w:r w:rsidRPr="00E807EC">
        <w:rPr>
          <w:rFonts w:ascii="Arial" w:hAnsi="Arial" w:cs="Arial"/>
          <w:sz w:val="20"/>
          <w:szCs w:val="20"/>
        </w:rPr>
        <w:t xml:space="preserve"> 2019 in cash, the </w:t>
      </w:r>
      <w:r>
        <w:rPr>
          <w:rFonts w:ascii="Arial" w:hAnsi="Arial" w:cs="Arial"/>
          <w:sz w:val="20"/>
          <w:szCs w:val="20"/>
        </w:rPr>
        <w:t>dividend payment rate</w:t>
      </w:r>
      <w:r w:rsidRPr="00E807EC">
        <w:rPr>
          <w:rFonts w:ascii="Arial" w:hAnsi="Arial" w:cs="Arial"/>
          <w:sz w:val="20"/>
          <w:szCs w:val="20"/>
        </w:rPr>
        <w:t xml:space="preserve">: 25% of the </w:t>
      </w:r>
      <w:r w:rsidR="002077F5">
        <w:rPr>
          <w:rFonts w:ascii="Arial" w:hAnsi="Arial" w:cs="Arial"/>
          <w:sz w:val="20"/>
          <w:szCs w:val="20"/>
        </w:rPr>
        <w:t>capital contributed by the owner</w:t>
      </w:r>
    </w:p>
    <w:p w:rsidR="002077F5" w:rsidRDefault="002077F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807EC" w:rsidRPr="00E807EC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payment resources:</w:t>
      </w:r>
      <w:r w:rsidR="0047144C">
        <w:rPr>
          <w:rFonts w:ascii="Arial" w:hAnsi="Arial" w:cs="Arial"/>
          <w:sz w:val="20"/>
          <w:szCs w:val="20"/>
        </w:rPr>
        <w:t xml:space="preserve"> the </w:t>
      </w:r>
      <w:r w:rsidR="00E807EC" w:rsidRPr="00E807E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ndistributed after-tax profit</w:t>
      </w:r>
    </w:p>
    <w:p w:rsidR="0047144C" w:rsidRDefault="0047144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3. Agree to submit</w:t>
      </w:r>
      <w:r w:rsidR="00E807EC" w:rsidRPr="00E807EC">
        <w:rPr>
          <w:rFonts w:ascii="Arial" w:hAnsi="Arial" w:cs="Arial"/>
          <w:sz w:val="20"/>
          <w:szCs w:val="20"/>
        </w:rPr>
        <w:t xml:space="preserve"> the Annual General Meeting of Shareholders for approval of the </w:t>
      </w:r>
      <w:r>
        <w:rPr>
          <w:rFonts w:ascii="Arial" w:hAnsi="Arial" w:cs="Arial"/>
          <w:sz w:val="20"/>
          <w:szCs w:val="20"/>
        </w:rPr>
        <w:t>operation plan for</w:t>
      </w:r>
      <w:r w:rsidR="00E807EC" w:rsidRPr="00E807EC">
        <w:rPr>
          <w:rFonts w:ascii="Arial" w:hAnsi="Arial" w:cs="Arial"/>
          <w:sz w:val="20"/>
          <w:szCs w:val="20"/>
        </w:rPr>
        <w:t xml:space="preserve"> 2020: </w:t>
      </w:r>
    </w:p>
    <w:p w:rsidR="0047144C" w:rsidRDefault="00E807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07EC">
        <w:rPr>
          <w:rFonts w:ascii="Arial" w:hAnsi="Arial" w:cs="Arial"/>
          <w:sz w:val="20"/>
          <w:szCs w:val="20"/>
        </w:rPr>
        <w:t xml:space="preserve">Unit: VND million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826"/>
        <w:gridCol w:w="3192"/>
      </w:tblGrid>
      <w:tr w:rsidR="0047144C" w:rsidTr="0047144C">
        <w:tc>
          <w:tcPr>
            <w:tcW w:w="558" w:type="dxa"/>
          </w:tcPr>
          <w:p w:rsidR="0047144C" w:rsidRDefault="0047144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26" w:type="dxa"/>
          </w:tcPr>
          <w:p w:rsidR="0047144C" w:rsidRDefault="0047144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3192" w:type="dxa"/>
          </w:tcPr>
          <w:p w:rsidR="0047144C" w:rsidRDefault="0047144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2020</w:t>
            </w:r>
          </w:p>
        </w:tc>
      </w:tr>
      <w:tr w:rsidR="0047144C" w:rsidTr="0047144C">
        <w:tc>
          <w:tcPr>
            <w:tcW w:w="558" w:type="dxa"/>
          </w:tcPr>
          <w:p w:rsidR="0047144C" w:rsidRDefault="0047144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26" w:type="dxa"/>
          </w:tcPr>
          <w:p w:rsidR="0047144C" w:rsidRDefault="0047144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3192" w:type="dxa"/>
          </w:tcPr>
          <w:p w:rsidR="0047144C" w:rsidRDefault="00F37F0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687,414</w:t>
            </w:r>
          </w:p>
        </w:tc>
      </w:tr>
      <w:tr w:rsidR="0047144C" w:rsidTr="0047144C">
        <w:tc>
          <w:tcPr>
            <w:tcW w:w="558" w:type="dxa"/>
          </w:tcPr>
          <w:p w:rsidR="0047144C" w:rsidRDefault="0047144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26" w:type="dxa"/>
          </w:tcPr>
          <w:p w:rsidR="0047144C" w:rsidRDefault="0047144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Consolidated revenue</w:t>
            </w:r>
          </w:p>
        </w:tc>
        <w:tc>
          <w:tcPr>
            <w:tcW w:w="3192" w:type="dxa"/>
          </w:tcPr>
          <w:p w:rsidR="0047144C" w:rsidRDefault="00F37F0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329,175</w:t>
            </w:r>
          </w:p>
        </w:tc>
      </w:tr>
      <w:tr w:rsidR="0047144C" w:rsidTr="0047144C">
        <w:tc>
          <w:tcPr>
            <w:tcW w:w="558" w:type="dxa"/>
          </w:tcPr>
          <w:p w:rsidR="0047144C" w:rsidRDefault="0047144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26" w:type="dxa"/>
          </w:tcPr>
          <w:p w:rsidR="0047144C" w:rsidRDefault="0047144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3192" w:type="dxa"/>
          </w:tcPr>
          <w:p w:rsidR="0047144C" w:rsidRDefault="007635D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30,680</w:t>
            </w:r>
          </w:p>
        </w:tc>
      </w:tr>
      <w:tr w:rsidR="0047144C" w:rsidTr="0047144C">
        <w:tc>
          <w:tcPr>
            <w:tcW w:w="558" w:type="dxa"/>
          </w:tcPr>
          <w:p w:rsidR="0047144C" w:rsidRDefault="0047144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26" w:type="dxa"/>
          </w:tcPr>
          <w:p w:rsidR="0047144C" w:rsidRDefault="00F37F0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Solvency of due debts</w:t>
            </w:r>
          </w:p>
        </w:tc>
        <w:tc>
          <w:tcPr>
            <w:tcW w:w="3192" w:type="dxa"/>
          </w:tcPr>
          <w:p w:rsidR="0047144C" w:rsidRDefault="007635D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1</w:t>
            </w:r>
          </w:p>
        </w:tc>
      </w:tr>
    </w:tbl>
    <w:p w:rsidR="0047144C" w:rsidRDefault="0047144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35D6" w:rsidRDefault="007635D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Agree to submit</w:t>
      </w:r>
      <w:r w:rsidR="00E807EC" w:rsidRPr="00E807EC">
        <w:rPr>
          <w:rFonts w:ascii="Arial" w:hAnsi="Arial" w:cs="Arial"/>
          <w:sz w:val="20"/>
          <w:szCs w:val="20"/>
        </w:rPr>
        <w:t xml:space="preserve"> the Annual General Meeting of Shareholders for approval </w:t>
      </w:r>
      <w:r>
        <w:rPr>
          <w:rFonts w:ascii="Arial" w:hAnsi="Arial" w:cs="Arial"/>
          <w:sz w:val="20"/>
          <w:szCs w:val="20"/>
        </w:rPr>
        <w:t xml:space="preserve">of </w:t>
      </w:r>
      <w:r w:rsidR="00E807EC" w:rsidRPr="00E807EC">
        <w:rPr>
          <w:rFonts w:ascii="Arial" w:hAnsi="Arial" w:cs="Arial"/>
          <w:sz w:val="20"/>
          <w:szCs w:val="20"/>
        </w:rPr>
        <w:t>the e</w:t>
      </w:r>
      <w:r>
        <w:rPr>
          <w:rFonts w:ascii="Arial" w:hAnsi="Arial" w:cs="Arial"/>
          <w:sz w:val="20"/>
          <w:szCs w:val="20"/>
        </w:rPr>
        <w:t>xpected dividend payment plan for 2020: 25%</w:t>
      </w:r>
      <w:bookmarkStart w:id="0" w:name="_GoBack"/>
      <w:bookmarkEnd w:id="0"/>
    </w:p>
    <w:p w:rsidR="00E807EC" w:rsidRDefault="00E807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07EC">
        <w:rPr>
          <w:rFonts w:ascii="Arial" w:hAnsi="Arial" w:cs="Arial"/>
          <w:sz w:val="20"/>
          <w:szCs w:val="20"/>
        </w:rPr>
        <w:t>Article 5</w:t>
      </w:r>
      <w:r w:rsidR="007635D6">
        <w:rPr>
          <w:rFonts w:ascii="Arial" w:hAnsi="Arial" w:cs="Arial"/>
          <w:sz w:val="20"/>
          <w:szCs w:val="20"/>
        </w:rPr>
        <w:t>:</w:t>
      </w:r>
      <w:r w:rsidRPr="00E807EC">
        <w:rPr>
          <w:rFonts w:ascii="Arial" w:hAnsi="Arial" w:cs="Arial"/>
          <w:sz w:val="20"/>
          <w:szCs w:val="20"/>
        </w:rPr>
        <w:t xml:space="preserve"> Agree to submit to the Annual General Meeting of Shareholders for approval of</w:t>
      </w:r>
      <w:r w:rsidR="0036641B">
        <w:rPr>
          <w:rFonts w:ascii="Arial" w:hAnsi="Arial" w:cs="Arial"/>
          <w:sz w:val="20"/>
          <w:szCs w:val="20"/>
        </w:rPr>
        <w:t xml:space="preserve"> the addition of business lines</w:t>
      </w:r>
    </w:p>
    <w:p w:rsidR="007F5EAC" w:rsidRDefault="007F5EA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Change in the Business Registration Certificate </w:t>
      </w:r>
    </w:p>
    <w:p w:rsidR="0036641B" w:rsidRDefault="0036641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Adding 01 business line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00"/>
        <w:gridCol w:w="1800"/>
        <w:gridCol w:w="5238"/>
      </w:tblGrid>
      <w:tr w:rsidR="007F5EAC" w:rsidTr="007F5EAC">
        <w:tc>
          <w:tcPr>
            <w:tcW w:w="738" w:type="dxa"/>
          </w:tcPr>
          <w:p w:rsidR="007F5EAC" w:rsidRDefault="00282E0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:rsidR="007F5EAC" w:rsidRDefault="00282E0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1800" w:type="dxa"/>
          </w:tcPr>
          <w:p w:rsidR="007F5EAC" w:rsidRDefault="00282E0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5238" w:type="dxa"/>
          </w:tcPr>
          <w:p w:rsidR="007F5EAC" w:rsidRDefault="00282E0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business</w:t>
            </w:r>
          </w:p>
        </w:tc>
      </w:tr>
      <w:tr w:rsidR="007F5EAC" w:rsidTr="007F5EAC">
        <w:tc>
          <w:tcPr>
            <w:tcW w:w="738" w:type="dxa"/>
          </w:tcPr>
          <w:p w:rsidR="007F5EAC" w:rsidRDefault="00282E0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7F5EAC" w:rsidRDefault="007F5EAC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7F5EAC" w:rsidRDefault="00282E0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7830</w:t>
            </w:r>
          </w:p>
        </w:tc>
        <w:tc>
          <w:tcPr>
            <w:tcW w:w="5238" w:type="dxa"/>
          </w:tcPr>
          <w:p w:rsidR="007F5EAC" w:rsidRDefault="00282E0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and manage the labor resources</w:t>
            </w:r>
          </w:p>
          <w:p w:rsidR="00282E0A" w:rsidRDefault="00282E0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(Article 7, Decree 52/ 2014/ ND – CP</w:t>
            </w:r>
          </w:p>
          <w:p w:rsidR="00282E0A" w:rsidRDefault="00282E0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(Article 12, Decree 140/ 2018/ ND – CP)</w:t>
            </w:r>
          </w:p>
          <w:p w:rsidR="00282E0A" w:rsidRDefault="00282E0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EAC" w:rsidRDefault="007F5EA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7808" w:rsidRDefault="0091780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641B" w:rsidRDefault="0036641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3B50" w:rsidRDefault="00282E0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E0A">
        <w:rPr>
          <w:rFonts w:ascii="Arial" w:hAnsi="Arial" w:cs="Arial"/>
          <w:sz w:val="20"/>
          <w:szCs w:val="20"/>
        </w:rPr>
        <w:lastRenderedPageBreak/>
        <w:t>5</w:t>
      </w:r>
      <w:r>
        <w:rPr>
          <w:rFonts w:ascii="Arial" w:hAnsi="Arial" w:cs="Arial"/>
          <w:sz w:val="20"/>
          <w:szCs w:val="20"/>
        </w:rPr>
        <w:t>.2 Amendment to</w:t>
      </w:r>
      <w:r w:rsidRPr="00282E0A">
        <w:rPr>
          <w:rFonts w:ascii="Arial" w:hAnsi="Arial" w:cs="Arial"/>
          <w:sz w:val="20"/>
          <w:szCs w:val="20"/>
        </w:rPr>
        <w:t xml:space="preserve"> the Charter of the Company: </w:t>
      </w:r>
    </w:p>
    <w:p w:rsidR="00513B50" w:rsidRDefault="00282E0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E0A">
        <w:rPr>
          <w:rFonts w:ascii="Arial" w:hAnsi="Arial" w:cs="Arial"/>
          <w:sz w:val="20"/>
          <w:szCs w:val="20"/>
        </w:rPr>
        <w:t xml:space="preserve">The Charter of the Company is amended in accordance with the changes in </w:t>
      </w:r>
      <w:r w:rsidR="00513B50">
        <w:rPr>
          <w:rFonts w:ascii="Arial" w:hAnsi="Arial" w:cs="Arial"/>
          <w:sz w:val="20"/>
          <w:szCs w:val="20"/>
        </w:rPr>
        <w:t xml:space="preserve">the Business Registration Certificate. </w:t>
      </w:r>
      <w:r w:rsidRPr="00282E0A">
        <w:rPr>
          <w:rFonts w:ascii="Arial" w:hAnsi="Arial" w:cs="Arial"/>
          <w:sz w:val="20"/>
          <w:szCs w:val="20"/>
        </w:rPr>
        <w:t>The cont</w:t>
      </w:r>
      <w:r w:rsidR="00513B50">
        <w:rPr>
          <w:rFonts w:ascii="Arial" w:hAnsi="Arial" w:cs="Arial"/>
          <w:sz w:val="20"/>
          <w:szCs w:val="20"/>
        </w:rPr>
        <w:t>ent</w:t>
      </w:r>
      <w:r w:rsidRPr="00282E0A">
        <w:rPr>
          <w:rFonts w:ascii="Arial" w:hAnsi="Arial" w:cs="Arial"/>
          <w:sz w:val="20"/>
          <w:szCs w:val="20"/>
        </w:rPr>
        <w:t xml:space="preserve"> amended </w:t>
      </w:r>
      <w:r w:rsidR="00513B50">
        <w:rPr>
          <w:rFonts w:ascii="Arial" w:hAnsi="Arial" w:cs="Arial"/>
          <w:sz w:val="20"/>
          <w:szCs w:val="20"/>
        </w:rPr>
        <w:t>in the Charter of the Company</w:t>
      </w:r>
      <w:r w:rsidRPr="00282E0A">
        <w:rPr>
          <w:rFonts w:ascii="Arial" w:hAnsi="Arial" w:cs="Arial"/>
          <w:sz w:val="20"/>
          <w:szCs w:val="20"/>
        </w:rPr>
        <w:t xml:space="preserve">: Article 3 - Clause 1: </w:t>
      </w:r>
      <w:r w:rsidR="00513B50">
        <w:rPr>
          <w:rFonts w:ascii="Arial" w:hAnsi="Arial" w:cs="Arial"/>
          <w:sz w:val="20"/>
          <w:szCs w:val="20"/>
        </w:rPr>
        <w:t>Business fields of the Company</w:t>
      </w:r>
    </w:p>
    <w:p w:rsidR="00FA0C66" w:rsidRDefault="00282E0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E0A">
        <w:rPr>
          <w:rFonts w:ascii="Arial" w:hAnsi="Arial" w:cs="Arial"/>
          <w:sz w:val="20"/>
          <w:szCs w:val="20"/>
        </w:rPr>
        <w:t>Article 6. Agreeing to submit the 2020 Annual General Meeting of Shareholders to approve the dismissal of Member of the Supervisory Board of the Company for the third term (2018-2</w:t>
      </w:r>
      <w:r w:rsidR="00FA0C66">
        <w:rPr>
          <w:rFonts w:ascii="Arial" w:hAnsi="Arial" w:cs="Arial"/>
          <w:sz w:val="20"/>
          <w:szCs w:val="20"/>
        </w:rPr>
        <w:t>023) for Ms. Pham Thi Thu Hang</w:t>
      </w:r>
    </w:p>
    <w:p w:rsidR="007657CD" w:rsidRDefault="00282E0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E0A">
        <w:rPr>
          <w:rFonts w:ascii="Arial" w:hAnsi="Arial" w:cs="Arial"/>
          <w:sz w:val="20"/>
          <w:szCs w:val="20"/>
        </w:rPr>
        <w:t xml:space="preserve">Article 7. Agree to propose additional election </w:t>
      </w:r>
      <w:r w:rsidR="00FA0C66">
        <w:rPr>
          <w:rFonts w:ascii="Arial" w:hAnsi="Arial" w:cs="Arial"/>
          <w:sz w:val="20"/>
          <w:szCs w:val="20"/>
        </w:rPr>
        <w:t xml:space="preserve">for </w:t>
      </w:r>
      <w:r w:rsidRPr="00282E0A">
        <w:rPr>
          <w:rFonts w:ascii="Arial" w:hAnsi="Arial" w:cs="Arial"/>
          <w:sz w:val="20"/>
          <w:szCs w:val="20"/>
        </w:rPr>
        <w:t xml:space="preserve">Mr. Le </w:t>
      </w:r>
      <w:proofErr w:type="spellStart"/>
      <w:r w:rsidRPr="00282E0A">
        <w:rPr>
          <w:rFonts w:ascii="Arial" w:hAnsi="Arial" w:cs="Arial"/>
          <w:sz w:val="20"/>
          <w:szCs w:val="20"/>
        </w:rPr>
        <w:t>Duc</w:t>
      </w:r>
      <w:proofErr w:type="spellEnd"/>
      <w:r w:rsidRPr="00282E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2E0A">
        <w:rPr>
          <w:rFonts w:ascii="Arial" w:hAnsi="Arial" w:cs="Arial"/>
          <w:sz w:val="20"/>
          <w:szCs w:val="20"/>
        </w:rPr>
        <w:t>Manh</w:t>
      </w:r>
      <w:proofErr w:type="spellEnd"/>
      <w:r w:rsidRPr="00282E0A">
        <w:rPr>
          <w:rFonts w:ascii="Arial" w:hAnsi="Arial" w:cs="Arial"/>
          <w:sz w:val="20"/>
          <w:szCs w:val="20"/>
        </w:rPr>
        <w:t xml:space="preserve"> - Expert of Accounting Department - </w:t>
      </w:r>
      <w:proofErr w:type="spellStart"/>
      <w:r w:rsidRPr="00282E0A">
        <w:rPr>
          <w:rFonts w:ascii="Arial" w:hAnsi="Arial" w:cs="Arial"/>
          <w:sz w:val="20"/>
          <w:szCs w:val="20"/>
        </w:rPr>
        <w:t>MobiFone</w:t>
      </w:r>
      <w:proofErr w:type="spellEnd"/>
      <w:r w:rsidRPr="00282E0A">
        <w:rPr>
          <w:rFonts w:ascii="Arial" w:hAnsi="Arial" w:cs="Arial"/>
          <w:sz w:val="20"/>
          <w:szCs w:val="20"/>
        </w:rPr>
        <w:t xml:space="preserve"> Corporation to </w:t>
      </w:r>
      <w:r w:rsidR="007657CD">
        <w:rPr>
          <w:rFonts w:ascii="Arial" w:hAnsi="Arial" w:cs="Arial"/>
          <w:sz w:val="20"/>
          <w:szCs w:val="20"/>
        </w:rPr>
        <w:t>the Supervisory Board</w:t>
      </w:r>
      <w:r w:rsidRPr="00282E0A">
        <w:rPr>
          <w:rFonts w:ascii="Arial" w:hAnsi="Arial" w:cs="Arial"/>
          <w:sz w:val="20"/>
          <w:szCs w:val="20"/>
        </w:rPr>
        <w:t xml:space="preserve"> of the Company for the </w:t>
      </w:r>
      <w:r w:rsidR="007657CD">
        <w:rPr>
          <w:rFonts w:ascii="Arial" w:hAnsi="Arial" w:cs="Arial"/>
          <w:sz w:val="20"/>
          <w:szCs w:val="20"/>
        </w:rPr>
        <w:t>third term (2018 - 2023)</w:t>
      </w:r>
    </w:p>
    <w:p w:rsidR="007657CD" w:rsidRDefault="007657C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 T</w:t>
      </w:r>
      <w:r w:rsidR="00282E0A" w:rsidRPr="00282E0A">
        <w:rPr>
          <w:rFonts w:ascii="Arial" w:hAnsi="Arial" w:cs="Arial"/>
          <w:sz w:val="20"/>
          <w:szCs w:val="20"/>
        </w:rPr>
        <w:t>his Resolution take</w:t>
      </w:r>
      <w:r>
        <w:rPr>
          <w:rFonts w:ascii="Arial" w:hAnsi="Arial" w:cs="Arial"/>
          <w:sz w:val="20"/>
          <w:szCs w:val="20"/>
        </w:rPr>
        <w:t>s effect from the signing date</w:t>
      </w:r>
    </w:p>
    <w:p w:rsidR="0036641B" w:rsidRDefault="007657C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9: M</w:t>
      </w:r>
      <w:r w:rsidR="00282E0A" w:rsidRPr="00282E0A">
        <w:rPr>
          <w:rFonts w:ascii="Arial" w:hAnsi="Arial" w:cs="Arial"/>
          <w:sz w:val="20"/>
          <w:szCs w:val="20"/>
        </w:rPr>
        <w:t xml:space="preserve">embers of the Board of Directors, the General Director of the Company and the </w:t>
      </w:r>
      <w:r w:rsidR="00DB13B4">
        <w:rPr>
          <w:rFonts w:ascii="Arial" w:hAnsi="Arial" w:cs="Arial"/>
          <w:sz w:val="20"/>
          <w:szCs w:val="20"/>
        </w:rPr>
        <w:t>relevant units</w:t>
      </w:r>
      <w:r w:rsidR="00282E0A" w:rsidRPr="00282E0A">
        <w:rPr>
          <w:rFonts w:ascii="Arial" w:hAnsi="Arial" w:cs="Arial"/>
          <w:sz w:val="20"/>
          <w:szCs w:val="20"/>
        </w:rPr>
        <w:t xml:space="preserve"> are responsible for the implementation of this Resolution</w:t>
      </w:r>
    </w:p>
    <w:sectPr w:rsidR="0036641B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55017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D6FC1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7F5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779B"/>
    <w:rsid w:val="0025148F"/>
    <w:rsid w:val="00251CD9"/>
    <w:rsid w:val="00252CE0"/>
    <w:rsid w:val="00254EA2"/>
    <w:rsid w:val="0026535B"/>
    <w:rsid w:val="002701FB"/>
    <w:rsid w:val="0028284F"/>
    <w:rsid w:val="00282E0A"/>
    <w:rsid w:val="00290E0E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61DC"/>
    <w:rsid w:val="0036641B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C5A29"/>
    <w:rsid w:val="003D18D5"/>
    <w:rsid w:val="003D3B1C"/>
    <w:rsid w:val="003E4C50"/>
    <w:rsid w:val="003E60D6"/>
    <w:rsid w:val="003E73CA"/>
    <w:rsid w:val="003F3274"/>
    <w:rsid w:val="00403A9C"/>
    <w:rsid w:val="00404C8D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061"/>
    <w:rsid w:val="00467BC0"/>
    <w:rsid w:val="0047038B"/>
    <w:rsid w:val="00470844"/>
    <w:rsid w:val="0047144C"/>
    <w:rsid w:val="00472560"/>
    <w:rsid w:val="00475279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13B50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083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034FC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35D6"/>
    <w:rsid w:val="007657CD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5EAC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C7F94"/>
    <w:rsid w:val="008D007E"/>
    <w:rsid w:val="008D12EB"/>
    <w:rsid w:val="008E41A6"/>
    <w:rsid w:val="008F1C6C"/>
    <w:rsid w:val="008F646E"/>
    <w:rsid w:val="00904A89"/>
    <w:rsid w:val="00911196"/>
    <w:rsid w:val="00911890"/>
    <w:rsid w:val="00912FBD"/>
    <w:rsid w:val="00917808"/>
    <w:rsid w:val="009232CB"/>
    <w:rsid w:val="00923467"/>
    <w:rsid w:val="00926469"/>
    <w:rsid w:val="00934FC0"/>
    <w:rsid w:val="00937D79"/>
    <w:rsid w:val="009410B8"/>
    <w:rsid w:val="0094370C"/>
    <w:rsid w:val="009464B8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0176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1E8F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2A11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0B6B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13B4"/>
    <w:rsid w:val="00DB2C71"/>
    <w:rsid w:val="00DB5EDC"/>
    <w:rsid w:val="00DC24CD"/>
    <w:rsid w:val="00DD1205"/>
    <w:rsid w:val="00DD1D0B"/>
    <w:rsid w:val="00DD263A"/>
    <w:rsid w:val="00DE5C3C"/>
    <w:rsid w:val="00DE63F0"/>
    <w:rsid w:val="00DF4180"/>
    <w:rsid w:val="00DF739B"/>
    <w:rsid w:val="00E1103D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07E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37F01"/>
    <w:rsid w:val="00F46D76"/>
    <w:rsid w:val="00F509DE"/>
    <w:rsid w:val="00F514ED"/>
    <w:rsid w:val="00F6241D"/>
    <w:rsid w:val="00F62439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0C6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2163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123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346</cp:revision>
  <dcterms:created xsi:type="dcterms:W3CDTF">2019-10-16T10:03:00Z</dcterms:created>
  <dcterms:modified xsi:type="dcterms:W3CDTF">2020-06-19T09:10:00Z</dcterms:modified>
</cp:coreProperties>
</file>